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32A2" w14:textId="77777777" w:rsidR="003F1A57" w:rsidRDefault="003F1A57" w:rsidP="00302806">
      <w:pPr>
        <w:spacing w:after="0" w:line="240" w:lineRule="auto"/>
      </w:pPr>
    </w:p>
    <w:p w14:paraId="5DC46B71" w14:textId="3B08E744" w:rsidR="004C33B7" w:rsidRDefault="004C33B7" w:rsidP="00302806">
      <w:pPr>
        <w:spacing w:after="0" w:line="240" w:lineRule="auto"/>
      </w:pPr>
      <w:r>
        <w:t xml:space="preserve">As an equal </w:t>
      </w:r>
      <w:r w:rsidR="005A354A">
        <w:t>opportunity’s</w:t>
      </w:r>
      <w:r>
        <w:t xml:space="preserve"> employer, Community Integrated Care actively strives to achieve the fair treatment of all colleagues, regardless of gender.</w:t>
      </w:r>
      <w:r w:rsidR="00B5321F">
        <w:t xml:space="preserve"> </w:t>
      </w:r>
      <w:r>
        <w:t>We will continue to follow our passion to lobby the Government to increase funding to the sector</w:t>
      </w:r>
      <w:r w:rsidR="005A7E21">
        <w:t>,</w:t>
      </w:r>
      <w:r>
        <w:t xml:space="preserve"> to enable us to pay colleagues the rate of pay they deserve.  </w:t>
      </w:r>
    </w:p>
    <w:p w14:paraId="2C427636" w14:textId="77777777" w:rsidR="00B5321F" w:rsidRDefault="00B5321F" w:rsidP="00302806">
      <w:pPr>
        <w:spacing w:after="0" w:line="240" w:lineRule="auto"/>
      </w:pPr>
    </w:p>
    <w:p w14:paraId="66CA8D38" w14:textId="26607710" w:rsidR="00EC19B0" w:rsidRDefault="00F82785">
      <w:r>
        <w:t>Community Integrated Care is pleased to publish details of its Gender Pay Gap results in accordance with the Governments Gender Pay Gap legislation</w:t>
      </w:r>
      <w:r w:rsidR="00984119">
        <w:t xml:space="preserve">. </w:t>
      </w:r>
    </w:p>
    <w:p w14:paraId="74589978" w14:textId="7296F867" w:rsidR="00984119" w:rsidRDefault="00984119">
      <w:r>
        <w:t xml:space="preserve">The information collected as </w:t>
      </w:r>
      <w:r w:rsidR="00017DC1">
        <w:t>of</w:t>
      </w:r>
      <w:r>
        <w:t xml:space="preserve"> 5</w:t>
      </w:r>
      <w:r w:rsidRPr="00984119">
        <w:rPr>
          <w:vertAlign w:val="superscript"/>
        </w:rPr>
        <w:t>th</w:t>
      </w:r>
      <w:r>
        <w:t xml:space="preserve"> April 202</w:t>
      </w:r>
      <w:r w:rsidR="00270235">
        <w:t>3</w:t>
      </w:r>
      <w:r>
        <w:t xml:space="preserve"> shows: </w:t>
      </w:r>
    </w:p>
    <w:p w14:paraId="01B50202" w14:textId="70C7E168" w:rsidR="00984119" w:rsidRDefault="00984119">
      <w:pPr>
        <w:rPr>
          <w:b/>
          <w:bCs/>
          <w:u w:val="single"/>
        </w:rPr>
      </w:pPr>
      <w:r w:rsidRPr="00984119">
        <w:rPr>
          <w:b/>
          <w:bCs/>
          <w:u w:val="single"/>
        </w:rPr>
        <w:t xml:space="preserve">Gender Pay Gap Overview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3473"/>
        <w:gridCol w:w="3473"/>
      </w:tblGrid>
      <w:tr w:rsidR="006B1DA4" w14:paraId="0AF6239E" w14:textId="77777777" w:rsidTr="006B1DA4">
        <w:tc>
          <w:tcPr>
            <w:tcW w:w="2547" w:type="dxa"/>
          </w:tcPr>
          <w:p w14:paraId="7C886029" w14:textId="77777777" w:rsidR="006B1DA4" w:rsidRDefault="006B1DA4" w:rsidP="006B1DA4">
            <w:pPr>
              <w:rPr>
                <w:b/>
                <w:bCs/>
              </w:rPr>
            </w:pPr>
          </w:p>
        </w:tc>
        <w:tc>
          <w:tcPr>
            <w:tcW w:w="3473" w:type="dxa"/>
          </w:tcPr>
          <w:p w14:paraId="09361557" w14:textId="2937ECE5" w:rsidR="006B1DA4" w:rsidRPr="00B438D4" w:rsidRDefault="006B1DA4" w:rsidP="006B1DA4">
            <w:r w:rsidRPr="00B438D4">
              <w:t>2022</w:t>
            </w:r>
          </w:p>
        </w:tc>
        <w:tc>
          <w:tcPr>
            <w:tcW w:w="3473" w:type="dxa"/>
          </w:tcPr>
          <w:p w14:paraId="16DDEE52" w14:textId="1C3BD15E" w:rsidR="006B1DA4" w:rsidRPr="00B438D4" w:rsidRDefault="006B1DA4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2023</w:t>
            </w:r>
          </w:p>
        </w:tc>
      </w:tr>
      <w:tr w:rsidR="006B1DA4" w:rsidRPr="00B438D4" w14:paraId="2F66B9DC" w14:textId="18EB2B34" w:rsidTr="006B1DA4">
        <w:tc>
          <w:tcPr>
            <w:tcW w:w="2547" w:type="dxa"/>
          </w:tcPr>
          <w:p w14:paraId="506E9980" w14:textId="7BFA6686" w:rsidR="006B1DA4" w:rsidRPr="00B438D4" w:rsidRDefault="006B1DA4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 xml:space="preserve">Mean Gender Pay Gap </w:t>
            </w:r>
          </w:p>
        </w:tc>
        <w:tc>
          <w:tcPr>
            <w:tcW w:w="3473" w:type="dxa"/>
          </w:tcPr>
          <w:p w14:paraId="5FFA2362" w14:textId="6187CF20" w:rsidR="006B1DA4" w:rsidRPr="00B438D4" w:rsidRDefault="006B1DA4" w:rsidP="006B1DA4">
            <w:r w:rsidRPr="00B438D4">
              <w:t>3.0%</w:t>
            </w:r>
          </w:p>
        </w:tc>
        <w:tc>
          <w:tcPr>
            <w:tcW w:w="3473" w:type="dxa"/>
          </w:tcPr>
          <w:p w14:paraId="3E03B5EA" w14:textId="1BF56912" w:rsidR="006B1DA4" w:rsidRPr="00B438D4" w:rsidRDefault="005D4CB6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3.</w:t>
            </w:r>
            <w:r w:rsidR="00C07E61" w:rsidRPr="00B438D4">
              <w:rPr>
                <w:b/>
                <w:bCs/>
              </w:rPr>
              <w:t>3</w:t>
            </w:r>
            <w:r w:rsidR="00297D8B" w:rsidRPr="00B438D4">
              <w:rPr>
                <w:b/>
                <w:bCs/>
              </w:rPr>
              <w:t>%</w:t>
            </w:r>
          </w:p>
        </w:tc>
      </w:tr>
      <w:tr w:rsidR="006B1DA4" w:rsidRPr="00B438D4" w14:paraId="3209B4C2" w14:textId="5DC9AC88" w:rsidTr="006B1DA4">
        <w:tc>
          <w:tcPr>
            <w:tcW w:w="2547" w:type="dxa"/>
          </w:tcPr>
          <w:p w14:paraId="12F4FD53" w14:textId="404E0E6D" w:rsidR="006B1DA4" w:rsidRPr="00B438D4" w:rsidRDefault="006B1DA4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 xml:space="preserve">Median Gender Pay Gap </w:t>
            </w:r>
          </w:p>
        </w:tc>
        <w:tc>
          <w:tcPr>
            <w:tcW w:w="3473" w:type="dxa"/>
          </w:tcPr>
          <w:p w14:paraId="43118B8F" w14:textId="3221F8D6" w:rsidR="006B1DA4" w:rsidRPr="00B438D4" w:rsidRDefault="006B1DA4" w:rsidP="006B1DA4">
            <w:r w:rsidRPr="00B438D4">
              <w:t>1.2%</w:t>
            </w:r>
          </w:p>
        </w:tc>
        <w:tc>
          <w:tcPr>
            <w:tcW w:w="3473" w:type="dxa"/>
          </w:tcPr>
          <w:p w14:paraId="5BA708CE" w14:textId="6AC832C6" w:rsidR="006B1DA4" w:rsidRPr="00B438D4" w:rsidRDefault="005E4B9A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2.3%</w:t>
            </w:r>
          </w:p>
        </w:tc>
      </w:tr>
      <w:tr w:rsidR="006B1DA4" w:rsidRPr="00B438D4" w14:paraId="545F7D52" w14:textId="2FDC056B" w:rsidTr="006B1DA4">
        <w:tc>
          <w:tcPr>
            <w:tcW w:w="2547" w:type="dxa"/>
          </w:tcPr>
          <w:p w14:paraId="39683BDC" w14:textId="08302E33" w:rsidR="006B1DA4" w:rsidRPr="00B438D4" w:rsidRDefault="006B1DA4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 xml:space="preserve">Mean Bonus Pay Gap </w:t>
            </w:r>
          </w:p>
        </w:tc>
        <w:tc>
          <w:tcPr>
            <w:tcW w:w="3473" w:type="dxa"/>
          </w:tcPr>
          <w:p w14:paraId="5604B339" w14:textId="5C53E708" w:rsidR="006B1DA4" w:rsidRPr="00B438D4" w:rsidRDefault="006B1DA4" w:rsidP="006B1DA4">
            <w:r w:rsidRPr="00B438D4">
              <w:t>0%</w:t>
            </w:r>
          </w:p>
        </w:tc>
        <w:tc>
          <w:tcPr>
            <w:tcW w:w="3473" w:type="dxa"/>
          </w:tcPr>
          <w:p w14:paraId="6ECD4867" w14:textId="3D065835" w:rsidR="006B1DA4" w:rsidRPr="00B438D4" w:rsidRDefault="005E4B9A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0%</w:t>
            </w:r>
          </w:p>
        </w:tc>
      </w:tr>
      <w:tr w:rsidR="006B1DA4" w:rsidRPr="00B438D4" w14:paraId="10EA72B0" w14:textId="2181E86D" w:rsidTr="006B1DA4">
        <w:tc>
          <w:tcPr>
            <w:tcW w:w="2547" w:type="dxa"/>
          </w:tcPr>
          <w:p w14:paraId="6E578DD3" w14:textId="23CACC49" w:rsidR="006B1DA4" w:rsidRPr="00B438D4" w:rsidRDefault="006B1DA4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 xml:space="preserve">Median Bonus Pay Gap </w:t>
            </w:r>
          </w:p>
        </w:tc>
        <w:tc>
          <w:tcPr>
            <w:tcW w:w="3473" w:type="dxa"/>
          </w:tcPr>
          <w:p w14:paraId="6AEEBBD2" w14:textId="19D30E14" w:rsidR="006B1DA4" w:rsidRPr="00B438D4" w:rsidRDefault="006B1DA4" w:rsidP="006B1DA4">
            <w:r w:rsidRPr="00B438D4">
              <w:t>0%</w:t>
            </w:r>
          </w:p>
        </w:tc>
        <w:tc>
          <w:tcPr>
            <w:tcW w:w="3473" w:type="dxa"/>
          </w:tcPr>
          <w:p w14:paraId="2FE8CC18" w14:textId="4973D8BA" w:rsidR="006B1DA4" w:rsidRPr="00B438D4" w:rsidRDefault="005E4B9A" w:rsidP="006B1DA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0%</w:t>
            </w:r>
          </w:p>
        </w:tc>
      </w:tr>
    </w:tbl>
    <w:p w14:paraId="6AD8D627" w14:textId="77777777" w:rsidR="00302806" w:rsidRPr="00B438D4" w:rsidRDefault="00302806" w:rsidP="00302806">
      <w:pPr>
        <w:spacing w:after="0" w:line="240" w:lineRule="auto"/>
        <w:rPr>
          <w:b/>
          <w:bCs/>
          <w:u w:val="single"/>
        </w:rPr>
      </w:pPr>
    </w:p>
    <w:p w14:paraId="4B1A96BC" w14:textId="13BD93B9" w:rsidR="00A15491" w:rsidRPr="00B438D4" w:rsidRDefault="00A15491" w:rsidP="00302806">
      <w:pPr>
        <w:spacing w:after="0" w:line="240" w:lineRule="auto"/>
        <w:rPr>
          <w:b/>
          <w:bCs/>
          <w:u w:val="single"/>
        </w:rPr>
      </w:pPr>
      <w:r w:rsidRPr="00B438D4">
        <w:rPr>
          <w:b/>
          <w:bCs/>
          <w:u w:val="single"/>
        </w:rPr>
        <w:t>Gender Breakdown</w:t>
      </w:r>
    </w:p>
    <w:p w14:paraId="193960AD" w14:textId="77777777" w:rsidR="00302806" w:rsidRPr="00B438D4" w:rsidRDefault="00302806" w:rsidP="00302806">
      <w:pPr>
        <w:spacing w:after="0" w:line="240" w:lineRule="auto"/>
        <w:rPr>
          <w:b/>
          <w:bCs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42"/>
        <w:gridCol w:w="1659"/>
        <w:gridCol w:w="1671"/>
        <w:gridCol w:w="1622"/>
        <w:gridCol w:w="1622"/>
      </w:tblGrid>
      <w:tr w:rsidR="005822BB" w:rsidRPr="00B438D4" w14:paraId="7BC27E2F" w14:textId="13C3CACC" w:rsidTr="005822BB">
        <w:tc>
          <w:tcPr>
            <w:tcW w:w="2442" w:type="dxa"/>
          </w:tcPr>
          <w:p w14:paraId="18943A19" w14:textId="66010869" w:rsidR="005822BB" w:rsidRPr="00B438D4" w:rsidRDefault="005822BB" w:rsidP="008743DE">
            <w:pPr>
              <w:rPr>
                <w:b/>
                <w:bCs/>
              </w:rPr>
            </w:pPr>
          </w:p>
        </w:tc>
        <w:tc>
          <w:tcPr>
            <w:tcW w:w="1659" w:type="dxa"/>
          </w:tcPr>
          <w:p w14:paraId="09859BF1" w14:textId="5E4B9B67" w:rsidR="005822BB" w:rsidRPr="00B438D4" w:rsidRDefault="005822BB" w:rsidP="008743DE">
            <w:r w:rsidRPr="00B438D4">
              <w:t>Male 2022</w:t>
            </w:r>
          </w:p>
        </w:tc>
        <w:tc>
          <w:tcPr>
            <w:tcW w:w="1671" w:type="dxa"/>
          </w:tcPr>
          <w:p w14:paraId="1CC5C1BD" w14:textId="27216C19" w:rsidR="005822BB" w:rsidRPr="00B438D4" w:rsidRDefault="005822BB" w:rsidP="008743DE">
            <w:r w:rsidRPr="00B438D4">
              <w:t>Female 2022</w:t>
            </w:r>
          </w:p>
        </w:tc>
        <w:tc>
          <w:tcPr>
            <w:tcW w:w="1622" w:type="dxa"/>
          </w:tcPr>
          <w:p w14:paraId="72217A6F" w14:textId="58561A17" w:rsidR="005822BB" w:rsidRPr="00B438D4" w:rsidRDefault="00751A19" w:rsidP="008743DE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Male 2023</w:t>
            </w:r>
          </w:p>
        </w:tc>
        <w:tc>
          <w:tcPr>
            <w:tcW w:w="1622" w:type="dxa"/>
          </w:tcPr>
          <w:p w14:paraId="5947A410" w14:textId="17F91B7A" w:rsidR="005822BB" w:rsidRPr="00B438D4" w:rsidRDefault="00751A19" w:rsidP="008743DE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Female 2023</w:t>
            </w:r>
          </w:p>
        </w:tc>
      </w:tr>
      <w:tr w:rsidR="005822BB" w:rsidRPr="00B438D4" w14:paraId="70AD544A" w14:textId="1D1FF801" w:rsidTr="005822BB">
        <w:tc>
          <w:tcPr>
            <w:tcW w:w="2442" w:type="dxa"/>
          </w:tcPr>
          <w:p w14:paraId="6F6FC7E8" w14:textId="6F895AF6" w:rsidR="005822BB" w:rsidRPr="00B438D4" w:rsidRDefault="005822BB" w:rsidP="008743DE">
            <w:r w:rsidRPr="00B438D4">
              <w:t xml:space="preserve">Number of Colleagues </w:t>
            </w:r>
          </w:p>
        </w:tc>
        <w:tc>
          <w:tcPr>
            <w:tcW w:w="1659" w:type="dxa"/>
          </w:tcPr>
          <w:p w14:paraId="2E5512C8" w14:textId="5F068752" w:rsidR="005822BB" w:rsidRPr="00B438D4" w:rsidRDefault="005822BB" w:rsidP="008743DE">
            <w:r w:rsidRPr="00B438D4">
              <w:t>909</w:t>
            </w:r>
          </w:p>
        </w:tc>
        <w:tc>
          <w:tcPr>
            <w:tcW w:w="1671" w:type="dxa"/>
          </w:tcPr>
          <w:p w14:paraId="6E68D45F" w14:textId="585184FB" w:rsidR="005822BB" w:rsidRPr="00B438D4" w:rsidRDefault="005822BB" w:rsidP="008743DE">
            <w:r w:rsidRPr="00B438D4">
              <w:t>3025</w:t>
            </w:r>
          </w:p>
        </w:tc>
        <w:tc>
          <w:tcPr>
            <w:tcW w:w="1622" w:type="dxa"/>
          </w:tcPr>
          <w:p w14:paraId="779C420F" w14:textId="52FE60AD" w:rsidR="005822BB" w:rsidRPr="00B438D4" w:rsidRDefault="00541617" w:rsidP="008743DE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960</w:t>
            </w:r>
          </w:p>
        </w:tc>
        <w:tc>
          <w:tcPr>
            <w:tcW w:w="1622" w:type="dxa"/>
          </w:tcPr>
          <w:p w14:paraId="6E79EFD0" w14:textId="1D0E76BC" w:rsidR="005822BB" w:rsidRPr="00B438D4" w:rsidRDefault="00751A19" w:rsidP="008743DE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3226</w:t>
            </w:r>
          </w:p>
        </w:tc>
      </w:tr>
      <w:tr w:rsidR="005822BB" w:rsidRPr="00B438D4" w14:paraId="085FFEF4" w14:textId="52AA5732" w:rsidTr="005822BB">
        <w:tc>
          <w:tcPr>
            <w:tcW w:w="2442" w:type="dxa"/>
          </w:tcPr>
          <w:p w14:paraId="44879BD6" w14:textId="3BCF2EB1" w:rsidR="005822BB" w:rsidRPr="00B438D4" w:rsidRDefault="005822BB" w:rsidP="008743DE">
            <w:r w:rsidRPr="00B438D4">
              <w:t xml:space="preserve">Mean Hourly Rate </w:t>
            </w:r>
          </w:p>
        </w:tc>
        <w:tc>
          <w:tcPr>
            <w:tcW w:w="1659" w:type="dxa"/>
          </w:tcPr>
          <w:p w14:paraId="21722B73" w14:textId="3FCC2567" w:rsidR="005822BB" w:rsidRPr="00B438D4" w:rsidRDefault="008E4E25" w:rsidP="008743DE">
            <w:r>
              <w:t>£</w:t>
            </w:r>
            <w:r w:rsidR="005822BB" w:rsidRPr="00B438D4">
              <w:t>11.35</w:t>
            </w:r>
          </w:p>
        </w:tc>
        <w:tc>
          <w:tcPr>
            <w:tcW w:w="1671" w:type="dxa"/>
          </w:tcPr>
          <w:p w14:paraId="1490B099" w14:textId="1C88EE96" w:rsidR="005822BB" w:rsidRPr="00B438D4" w:rsidRDefault="008E4E25" w:rsidP="008743DE">
            <w:r>
              <w:t>£</w:t>
            </w:r>
            <w:r w:rsidR="005822BB" w:rsidRPr="00B438D4">
              <w:t>11.02</w:t>
            </w:r>
          </w:p>
        </w:tc>
        <w:tc>
          <w:tcPr>
            <w:tcW w:w="1622" w:type="dxa"/>
          </w:tcPr>
          <w:p w14:paraId="3561E4A6" w14:textId="4C35BF17" w:rsidR="005822BB" w:rsidRPr="00B438D4" w:rsidRDefault="008E4E25" w:rsidP="008743D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B217B3" w:rsidRPr="00B438D4">
              <w:rPr>
                <w:b/>
                <w:bCs/>
              </w:rPr>
              <w:t>11</w:t>
            </w:r>
            <w:r w:rsidR="0081625E" w:rsidRPr="00B438D4">
              <w:rPr>
                <w:b/>
                <w:bCs/>
              </w:rPr>
              <w:t>.81</w:t>
            </w:r>
          </w:p>
        </w:tc>
        <w:tc>
          <w:tcPr>
            <w:tcW w:w="1622" w:type="dxa"/>
          </w:tcPr>
          <w:p w14:paraId="6BDFF327" w14:textId="2AA498D9" w:rsidR="005822BB" w:rsidRPr="00B438D4" w:rsidRDefault="008E4E25" w:rsidP="008743D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81625E" w:rsidRPr="00B438D4">
              <w:rPr>
                <w:b/>
                <w:bCs/>
              </w:rPr>
              <w:t>11.43</w:t>
            </w:r>
          </w:p>
        </w:tc>
      </w:tr>
      <w:tr w:rsidR="005822BB" w:rsidRPr="00435DEE" w14:paraId="4C9D3198" w14:textId="43D16306" w:rsidTr="005822BB">
        <w:tc>
          <w:tcPr>
            <w:tcW w:w="2442" w:type="dxa"/>
          </w:tcPr>
          <w:p w14:paraId="65C47F8D" w14:textId="6DAE1C02" w:rsidR="005822BB" w:rsidRPr="00B438D4" w:rsidRDefault="005822BB" w:rsidP="008743DE">
            <w:r w:rsidRPr="00B438D4">
              <w:t xml:space="preserve">Median Hourly Rate </w:t>
            </w:r>
          </w:p>
        </w:tc>
        <w:tc>
          <w:tcPr>
            <w:tcW w:w="1659" w:type="dxa"/>
          </w:tcPr>
          <w:p w14:paraId="3E5E24CE" w14:textId="15C3BA56" w:rsidR="005822BB" w:rsidRPr="00B438D4" w:rsidRDefault="008E4E25" w:rsidP="008743DE">
            <w:r>
              <w:t>£</w:t>
            </w:r>
            <w:r w:rsidR="005822BB" w:rsidRPr="00B438D4">
              <w:t>9.86</w:t>
            </w:r>
          </w:p>
        </w:tc>
        <w:tc>
          <w:tcPr>
            <w:tcW w:w="1671" w:type="dxa"/>
          </w:tcPr>
          <w:p w14:paraId="0C5CD775" w14:textId="10D02786" w:rsidR="005822BB" w:rsidRPr="00B438D4" w:rsidRDefault="008E4E25" w:rsidP="008743DE">
            <w:r>
              <w:t>£</w:t>
            </w:r>
            <w:r w:rsidR="005822BB" w:rsidRPr="00B438D4">
              <w:t>9.74</w:t>
            </w:r>
          </w:p>
        </w:tc>
        <w:tc>
          <w:tcPr>
            <w:tcW w:w="1622" w:type="dxa"/>
          </w:tcPr>
          <w:p w14:paraId="4F7428A5" w14:textId="44F0C3F3" w:rsidR="005822BB" w:rsidRPr="00B438D4" w:rsidRDefault="008E4E25" w:rsidP="008743D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81625E" w:rsidRPr="00B438D4">
              <w:rPr>
                <w:b/>
                <w:bCs/>
              </w:rPr>
              <w:t>10.28</w:t>
            </w:r>
          </w:p>
        </w:tc>
        <w:tc>
          <w:tcPr>
            <w:tcW w:w="1622" w:type="dxa"/>
          </w:tcPr>
          <w:p w14:paraId="52D0C840" w14:textId="639A1F03" w:rsidR="005822BB" w:rsidRPr="00B438D4" w:rsidRDefault="008E4E25" w:rsidP="008743D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81625E" w:rsidRPr="00B438D4">
              <w:rPr>
                <w:b/>
                <w:bCs/>
              </w:rPr>
              <w:t>10.04</w:t>
            </w:r>
          </w:p>
        </w:tc>
      </w:tr>
    </w:tbl>
    <w:p w14:paraId="0A4252C8" w14:textId="2D6E760F" w:rsidR="00A15491" w:rsidRPr="00435DEE" w:rsidRDefault="00A15491">
      <w:pPr>
        <w:rPr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772"/>
        <w:gridCol w:w="1772"/>
      </w:tblGrid>
      <w:tr w:rsidR="006F0484" w14:paraId="41699698" w14:textId="3E99E615" w:rsidTr="006F0484">
        <w:tc>
          <w:tcPr>
            <w:tcW w:w="2405" w:type="dxa"/>
          </w:tcPr>
          <w:p w14:paraId="59571283" w14:textId="3D00B6AC" w:rsidR="006F0484" w:rsidRPr="0097716D" w:rsidRDefault="006F0484" w:rsidP="006F0484">
            <w:pPr>
              <w:rPr>
                <w:b/>
                <w:bCs/>
              </w:rPr>
            </w:pPr>
          </w:p>
        </w:tc>
        <w:tc>
          <w:tcPr>
            <w:tcW w:w="1772" w:type="dxa"/>
          </w:tcPr>
          <w:p w14:paraId="29D3ABAA" w14:textId="61930681" w:rsidR="006F0484" w:rsidRPr="00692032" w:rsidRDefault="006F0484" w:rsidP="006F0484">
            <w:pPr>
              <w:rPr>
                <w:u w:val="single"/>
              </w:rPr>
            </w:pPr>
            <w:r w:rsidRPr="003F1A57">
              <w:rPr>
                <w:b/>
                <w:bCs/>
                <w:u w:val="single"/>
              </w:rPr>
              <w:t>Proportion 2022</w:t>
            </w:r>
          </w:p>
        </w:tc>
        <w:tc>
          <w:tcPr>
            <w:tcW w:w="1772" w:type="dxa"/>
          </w:tcPr>
          <w:p w14:paraId="386D535A" w14:textId="658683F6" w:rsidR="006F0484" w:rsidRPr="00692032" w:rsidRDefault="006F0484" w:rsidP="006F0484">
            <w:pPr>
              <w:rPr>
                <w:u w:val="single"/>
              </w:rPr>
            </w:pPr>
            <w:r w:rsidRPr="003F1A57">
              <w:rPr>
                <w:b/>
                <w:bCs/>
                <w:u w:val="single"/>
              </w:rPr>
              <w:t>Female Proportion 2022</w:t>
            </w:r>
          </w:p>
        </w:tc>
        <w:tc>
          <w:tcPr>
            <w:tcW w:w="1772" w:type="dxa"/>
          </w:tcPr>
          <w:p w14:paraId="27E96F8F" w14:textId="6AD145B2" w:rsidR="006F0484" w:rsidRPr="00B438D4" w:rsidRDefault="006F0484" w:rsidP="006F0484">
            <w:pPr>
              <w:rPr>
                <w:b/>
                <w:bCs/>
                <w:u w:val="single"/>
              </w:rPr>
            </w:pPr>
            <w:r w:rsidRPr="00B438D4">
              <w:rPr>
                <w:b/>
                <w:bCs/>
                <w:u w:val="single"/>
              </w:rPr>
              <w:t>Male Proportion 2023</w:t>
            </w:r>
          </w:p>
        </w:tc>
        <w:tc>
          <w:tcPr>
            <w:tcW w:w="1772" w:type="dxa"/>
          </w:tcPr>
          <w:p w14:paraId="4CC6A4AB" w14:textId="34294D5D" w:rsidR="006F0484" w:rsidRPr="00B438D4" w:rsidRDefault="006F0484" w:rsidP="006F0484">
            <w:pPr>
              <w:rPr>
                <w:b/>
                <w:bCs/>
                <w:u w:val="single"/>
              </w:rPr>
            </w:pPr>
            <w:r w:rsidRPr="00B438D4">
              <w:rPr>
                <w:b/>
                <w:bCs/>
                <w:u w:val="single"/>
              </w:rPr>
              <w:t>Female Proportion 2023</w:t>
            </w:r>
          </w:p>
        </w:tc>
      </w:tr>
      <w:tr w:rsidR="006F0484" w14:paraId="3FE3D6F3" w14:textId="2849E98B" w:rsidTr="006F0484">
        <w:tc>
          <w:tcPr>
            <w:tcW w:w="2405" w:type="dxa"/>
          </w:tcPr>
          <w:p w14:paraId="0AC3104D" w14:textId="07AC02B9" w:rsidR="006F0484" w:rsidRPr="00D531DB" w:rsidRDefault="006F0484" w:rsidP="006F0484">
            <w:pPr>
              <w:rPr>
                <w:b/>
                <w:bCs/>
              </w:rPr>
            </w:pPr>
            <w:r w:rsidRPr="00D531DB">
              <w:rPr>
                <w:b/>
                <w:bCs/>
              </w:rPr>
              <w:t xml:space="preserve">Upper Quartile </w:t>
            </w:r>
          </w:p>
        </w:tc>
        <w:tc>
          <w:tcPr>
            <w:tcW w:w="1772" w:type="dxa"/>
          </w:tcPr>
          <w:p w14:paraId="666B9BBC" w14:textId="74816BA6" w:rsidR="006F0484" w:rsidRPr="00692032" w:rsidRDefault="006F0484" w:rsidP="006F0484">
            <w:r w:rsidRPr="003F1A57">
              <w:rPr>
                <w:b/>
                <w:bCs/>
              </w:rPr>
              <w:t>26.3%</w:t>
            </w:r>
          </w:p>
        </w:tc>
        <w:tc>
          <w:tcPr>
            <w:tcW w:w="1772" w:type="dxa"/>
          </w:tcPr>
          <w:p w14:paraId="49426CAA" w14:textId="240BC61A" w:rsidR="006F0484" w:rsidRPr="00692032" w:rsidRDefault="006F0484" w:rsidP="006F0484">
            <w:r w:rsidRPr="003F1A57">
              <w:rPr>
                <w:b/>
                <w:bCs/>
              </w:rPr>
              <w:t>73.7%</w:t>
            </w:r>
          </w:p>
        </w:tc>
        <w:tc>
          <w:tcPr>
            <w:tcW w:w="1772" w:type="dxa"/>
          </w:tcPr>
          <w:p w14:paraId="71F78630" w14:textId="606D7A86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26.80</w:t>
            </w:r>
            <w:r w:rsidR="00B438D4">
              <w:rPr>
                <w:b/>
                <w:bCs/>
              </w:rPr>
              <w:t>%</w:t>
            </w:r>
          </w:p>
        </w:tc>
        <w:tc>
          <w:tcPr>
            <w:tcW w:w="1772" w:type="dxa"/>
          </w:tcPr>
          <w:p w14:paraId="49B97C0F" w14:textId="62E32B91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73.20</w:t>
            </w:r>
            <w:r w:rsidR="00B438D4">
              <w:rPr>
                <w:b/>
                <w:bCs/>
              </w:rPr>
              <w:t>%</w:t>
            </w:r>
          </w:p>
        </w:tc>
      </w:tr>
      <w:tr w:rsidR="006F0484" w14:paraId="214398FD" w14:textId="7697057E" w:rsidTr="006F0484">
        <w:tc>
          <w:tcPr>
            <w:tcW w:w="2405" w:type="dxa"/>
          </w:tcPr>
          <w:p w14:paraId="22B9F754" w14:textId="3666F6D9" w:rsidR="006F0484" w:rsidRPr="00D531DB" w:rsidRDefault="006F0484" w:rsidP="006F0484">
            <w:pPr>
              <w:rPr>
                <w:b/>
                <w:bCs/>
              </w:rPr>
            </w:pPr>
            <w:r w:rsidRPr="00D531DB">
              <w:rPr>
                <w:b/>
                <w:bCs/>
              </w:rPr>
              <w:t xml:space="preserve">Upper Middle Quartile </w:t>
            </w:r>
          </w:p>
        </w:tc>
        <w:tc>
          <w:tcPr>
            <w:tcW w:w="1772" w:type="dxa"/>
          </w:tcPr>
          <w:p w14:paraId="3EE50F23" w14:textId="72BBA497" w:rsidR="006F0484" w:rsidRPr="00692032" w:rsidRDefault="006F0484" w:rsidP="006F0484">
            <w:r w:rsidRPr="003F1A57">
              <w:rPr>
                <w:b/>
                <w:bCs/>
              </w:rPr>
              <w:t>22.8%</w:t>
            </w:r>
          </w:p>
        </w:tc>
        <w:tc>
          <w:tcPr>
            <w:tcW w:w="1772" w:type="dxa"/>
          </w:tcPr>
          <w:p w14:paraId="74828B1A" w14:textId="23A62A32" w:rsidR="006F0484" w:rsidRPr="00692032" w:rsidRDefault="006F0484" w:rsidP="006F0484">
            <w:r w:rsidRPr="003F1A57">
              <w:rPr>
                <w:b/>
                <w:bCs/>
              </w:rPr>
              <w:t>77.2%</w:t>
            </w:r>
          </w:p>
        </w:tc>
        <w:tc>
          <w:tcPr>
            <w:tcW w:w="1772" w:type="dxa"/>
          </w:tcPr>
          <w:p w14:paraId="1036CC2D" w14:textId="63024397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23.50</w:t>
            </w:r>
            <w:r w:rsidR="00B438D4">
              <w:rPr>
                <w:b/>
                <w:bCs/>
              </w:rPr>
              <w:t>%</w:t>
            </w:r>
          </w:p>
        </w:tc>
        <w:tc>
          <w:tcPr>
            <w:tcW w:w="1772" w:type="dxa"/>
          </w:tcPr>
          <w:p w14:paraId="5587CDAD" w14:textId="659A134C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76.50</w:t>
            </w:r>
            <w:r w:rsidR="00B438D4">
              <w:rPr>
                <w:b/>
                <w:bCs/>
              </w:rPr>
              <w:t>%</w:t>
            </w:r>
          </w:p>
        </w:tc>
      </w:tr>
      <w:tr w:rsidR="006F0484" w14:paraId="3E085704" w14:textId="3955C79A" w:rsidTr="006F0484">
        <w:tc>
          <w:tcPr>
            <w:tcW w:w="2405" w:type="dxa"/>
          </w:tcPr>
          <w:p w14:paraId="3950F60E" w14:textId="07541A5D" w:rsidR="006F0484" w:rsidRPr="00D531DB" w:rsidRDefault="006F0484" w:rsidP="006F0484">
            <w:pPr>
              <w:rPr>
                <w:b/>
                <w:bCs/>
              </w:rPr>
            </w:pPr>
            <w:r w:rsidRPr="00D531DB">
              <w:rPr>
                <w:b/>
                <w:bCs/>
              </w:rPr>
              <w:t xml:space="preserve">Lower Middle Quartile </w:t>
            </w:r>
          </w:p>
        </w:tc>
        <w:tc>
          <w:tcPr>
            <w:tcW w:w="1772" w:type="dxa"/>
          </w:tcPr>
          <w:p w14:paraId="2609536B" w14:textId="38AD8506" w:rsidR="006F0484" w:rsidRPr="00692032" w:rsidRDefault="006F0484" w:rsidP="006F0484">
            <w:r w:rsidRPr="003F1A57">
              <w:rPr>
                <w:b/>
                <w:bCs/>
              </w:rPr>
              <w:t>22.2%</w:t>
            </w:r>
          </w:p>
        </w:tc>
        <w:tc>
          <w:tcPr>
            <w:tcW w:w="1772" w:type="dxa"/>
          </w:tcPr>
          <w:p w14:paraId="4ED1E987" w14:textId="73D50E3E" w:rsidR="006F0484" w:rsidRPr="00692032" w:rsidRDefault="006F0484" w:rsidP="006F0484">
            <w:r w:rsidRPr="003F1A57">
              <w:rPr>
                <w:b/>
                <w:bCs/>
              </w:rPr>
              <w:t>77.8%</w:t>
            </w:r>
          </w:p>
        </w:tc>
        <w:tc>
          <w:tcPr>
            <w:tcW w:w="1772" w:type="dxa"/>
          </w:tcPr>
          <w:p w14:paraId="779F86EE" w14:textId="68E7DAAF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21.20</w:t>
            </w:r>
            <w:r w:rsidR="00B438D4">
              <w:rPr>
                <w:b/>
                <w:bCs/>
              </w:rPr>
              <w:t>%</w:t>
            </w:r>
          </w:p>
        </w:tc>
        <w:tc>
          <w:tcPr>
            <w:tcW w:w="1772" w:type="dxa"/>
          </w:tcPr>
          <w:p w14:paraId="1E7F173D" w14:textId="3802FC69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78.80</w:t>
            </w:r>
            <w:r w:rsidR="00B438D4">
              <w:rPr>
                <w:b/>
                <w:bCs/>
              </w:rPr>
              <w:t>%</w:t>
            </w:r>
          </w:p>
        </w:tc>
      </w:tr>
      <w:tr w:rsidR="006F0484" w14:paraId="6C8AE592" w14:textId="0EE102F4" w:rsidTr="006F0484">
        <w:tc>
          <w:tcPr>
            <w:tcW w:w="2405" w:type="dxa"/>
          </w:tcPr>
          <w:p w14:paraId="60FF0659" w14:textId="426B5F8E" w:rsidR="006F0484" w:rsidRPr="00D531DB" w:rsidRDefault="006F0484" w:rsidP="006F0484">
            <w:pPr>
              <w:rPr>
                <w:b/>
                <w:bCs/>
              </w:rPr>
            </w:pPr>
            <w:r w:rsidRPr="00D531DB">
              <w:rPr>
                <w:b/>
                <w:bCs/>
              </w:rPr>
              <w:t xml:space="preserve">Lower Quartile </w:t>
            </w:r>
          </w:p>
        </w:tc>
        <w:tc>
          <w:tcPr>
            <w:tcW w:w="1772" w:type="dxa"/>
          </w:tcPr>
          <w:p w14:paraId="35C0563F" w14:textId="4F906346" w:rsidR="006F0484" w:rsidRPr="00692032" w:rsidRDefault="006F0484" w:rsidP="006F0484">
            <w:r w:rsidRPr="003F1A57">
              <w:rPr>
                <w:b/>
                <w:bCs/>
              </w:rPr>
              <w:t>21.1%</w:t>
            </w:r>
          </w:p>
        </w:tc>
        <w:tc>
          <w:tcPr>
            <w:tcW w:w="1772" w:type="dxa"/>
          </w:tcPr>
          <w:p w14:paraId="2EB98249" w14:textId="713D4CEB" w:rsidR="006F0484" w:rsidRPr="00692032" w:rsidRDefault="006F0484" w:rsidP="006F0484">
            <w:r w:rsidRPr="003F1A57">
              <w:rPr>
                <w:b/>
                <w:bCs/>
              </w:rPr>
              <w:t>78.9%</w:t>
            </w:r>
          </w:p>
        </w:tc>
        <w:tc>
          <w:tcPr>
            <w:tcW w:w="1772" w:type="dxa"/>
          </w:tcPr>
          <w:p w14:paraId="43714C5A" w14:textId="21BD5BD2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20.20</w:t>
            </w:r>
            <w:r w:rsidR="00B438D4">
              <w:rPr>
                <w:b/>
                <w:bCs/>
              </w:rPr>
              <w:t>%</w:t>
            </w:r>
          </w:p>
        </w:tc>
        <w:tc>
          <w:tcPr>
            <w:tcW w:w="1772" w:type="dxa"/>
          </w:tcPr>
          <w:p w14:paraId="709FFBC4" w14:textId="78783E82" w:rsidR="006F0484" w:rsidRPr="00B438D4" w:rsidRDefault="00213925" w:rsidP="006F0484">
            <w:pPr>
              <w:rPr>
                <w:b/>
                <w:bCs/>
              </w:rPr>
            </w:pPr>
            <w:r w:rsidRPr="00B438D4">
              <w:rPr>
                <w:b/>
                <w:bCs/>
              </w:rPr>
              <w:t>79.80</w:t>
            </w:r>
            <w:r w:rsidR="00B438D4">
              <w:rPr>
                <w:b/>
                <w:bCs/>
              </w:rPr>
              <w:t>%</w:t>
            </w:r>
          </w:p>
        </w:tc>
      </w:tr>
    </w:tbl>
    <w:p w14:paraId="2F5E429D" w14:textId="77777777" w:rsidR="004C33B7" w:rsidRDefault="004C33B7"/>
    <w:p w14:paraId="1863CB7F" w14:textId="44FCCCB4" w:rsidR="00C64F85" w:rsidRDefault="00735F5A">
      <w:r>
        <w:t>O</w:t>
      </w:r>
      <w:r w:rsidR="00456550">
        <w:t>ver the past three years</w:t>
      </w:r>
      <w:r>
        <w:t xml:space="preserve"> we have worked </w:t>
      </w:r>
      <w:r w:rsidR="00D57B32">
        <w:t xml:space="preserve">hard </w:t>
      </w:r>
      <w:r w:rsidR="00456550">
        <w:t xml:space="preserve">to establish a fair and transparent </w:t>
      </w:r>
      <w:r w:rsidR="001C56B7">
        <w:t>pay framework</w:t>
      </w:r>
      <w:r w:rsidR="70F3D38E">
        <w:t xml:space="preserve"> which is in place</w:t>
      </w:r>
      <w:r w:rsidR="001C56B7">
        <w:t xml:space="preserve"> for all colleagues. </w:t>
      </w:r>
      <w:r w:rsidR="00FB077D">
        <w:t>Standard rates of pay</w:t>
      </w:r>
      <w:r w:rsidR="00AF2EF8">
        <w:t xml:space="preserve"> have been established</w:t>
      </w:r>
      <w:r w:rsidR="00411825">
        <w:t xml:space="preserve"> </w:t>
      </w:r>
      <w:r w:rsidR="5993D3AA">
        <w:t xml:space="preserve">for all hourly paid roles </w:t>
      </w:r>
      <w:r w:rsidR="00AF2EF8">
        <w:t xml:space="preserve">and a </w:t>
      </w:r>
      <w:r w:rsidR="007E7BFF">
        <w:t xml:space="preserve">robust framework </w:t>
      </w:r>
      <w:r w:rsidR="2A0518C4">
        <w:t xml:space="preserve">is </w:t>
      </w:r>
      <w:r w:rsidR="007E7BFF">
        <w:t xml:space="preserve">in place for </w:t>
      </w:r>
      <w:r w:rsidR="00C64F85">
        <w:t>salary</w:t>
      </w:r>
      <w:r w:rsidR="00C36B9F">
        <w:t xml:space="preserve"> increases</w:t>
      </w:r>
      <w:r w:rsidR="00C64F85">
        <w:t>.</w:t>
      </w:r>
      <w:r w:rsidR="005F44B5">
        <w:t xml:space="preserve">  </w:t>
      </w:r>
    </w:p>
    <w:p w14:paraId="066C7836" w14:textId="353F9C38" w:rsidR="00270C08" w:rsidRDefault="00A30660">
      <w:r>
        <w:t>Many</w:t>
      </w:r>
      <w:r w:rsidR="00411825">
        <w:t xml:space="preserve"> of</w:t>
      </w:r>
      <w:r w:rsidR="004A4F97">
        <w:t xml:space="preserve"> our colleagues work on the frontline</w:t>
      </w:r>
      <w:r w:rsidR="00D57B32">
        <w:t>;</w:t>
      </w:r>
      <w:r w:rsidR="00C36B9F">
        <w:t xml:space="preserve"> analysis shows that </w:t>
      </w:r>
      <w:r w:rsidR="007A2338">
        <w:t xml:space="preserve">a higher percentage of </w:t>
      </w:r>
      <w:r w:rsidR="00AF458F">
        <w:t>our</w:t>
      </w:r>
      <w:r w:rsidR="0039218A">
        <w:t xml:space="preserve"> male </w:t>
      </w:r>
      <w:r w:rsidR="00F340E8">
        <w:t>workforce complete</w:t>
      </w:r>
      <w:r w:rsidR="0050277D">
        <w:t xml:space="preserve"> a sleepover shift </w:t>
      </w:r>
      <w:r w:rsidR="3BC49242">
        <w:t xml:space="preserve">which in turn </w:t>
      </w:r>
      <w:r w:rsidR="0050277D">
        <w:t>increas</w:t>
      </w:r>
      <w:r w:rsidR="7FC4C653">
        <w:t>es</w:t>
      </w:r>
      <w:r w:rsidR="0050277D">
        <w:t xml:space="preserve"> their take home pay.</w:t>
      </w:r>
      <w:r w:rsidR="002E01F8">
        <w:t xml:space="preserve"> This </w:t>
      </w:r>
      <w:proofErr w:type="gramStart"/>
      <w:r w:rsidR="002E01F8">
        <w:t xml:space="preserve">has an </w:t>
      </w:r>
      <w:r w:rsidR="00F340E8">
        <w:t>effect</w:t>
      </w:r>
      <w:r w:rsidR="002E01F8">
        <w:t xml:space="preserve"> on</w:t>
      </w:r>
      <w:proofErr w:type="gramEnd"/>
      <w:r w:rsidR="002E01F8">
        <w:t xml:space="preserve"> our gender pay gap</w:t>
      </w:r>
      <w:r w:rsidR="00EB1125">
        <w:t xml:space="preserve"> </w:t>
      </w:r>
      <w:r w:rsidR="00AF458F">
        <w:t>which is</w:t>
      </w:r>
      <w:r w:rsidR="00EB1125">
        <w:t xml:space="preserve"> </w:t>
      </w:r>
      <w:r w:rsidR="001F620F">
        <w:t>3</w:t>
      </w:r>
      <w:r w:rsidR="00EB1125">
        <w:t xml:space="preserve">.3% </w:t>
      </w:r>
      <w:r w:rsidR="677160DE">
        <w:t xml:space="preserve">when calculated as the </w:t>
      </w:r>
      <w:r w:rsidR="00EB1125">
        <w:t>mea</w:t>
      </w:r>
      <w:r w:rsidR="001F620F">
        <w:t xml:space="preserve">n and </w:t>
      </w:r>
      <w:r w:rsidR="00EB1125">
        <w:t xml:space="preserve">2.3% </w:t>
      </w:r>
      <w:r w:rsidR="1D4555E6">
        <w:t xml:space="preserve">at the </w:t>
      </w:r>
      <w:r w:rsidR="00EB1125">
        <w:t>median</w:t>
      </w:r>
      <w:r w:rsidR="00F340E8">
        <w:t>.</w:t>
      </w:r>
    </w:p>
    <w:p w14:paraId="636A8BBE" w14:textId="77777777" w:rsidR="00C03EE5" w:rsidRDefault="00556C97">
      <w:r>
        <w:t xml:space="preserve">We </w:t>
      </w:r>
      <w:r w:rsidR="70C59610">
        <w:t>consider</w:t>
      </w:r>
      <w:r w:rsidR="00FC4CB2">
        <w:t xml:space="preserve"> </w:t>
      </w:r>
      <w:r w:rsidR="00F8413D">
        <w:t xml:space="preserve">equality, </w:t>
      </w:r>
      <w:proofErr w:type="gramStart"/>
      <w:r w:rsidR="00F8413D">
        <w:t>diversity</w:t>
      </w:r>
      <w:proofErr w:type="gramEnd"/>
      <w:r w:rsidR="00F8413D">
        <w:t xml:space="preserve"> and inclusion</w:t>
      </w:r>
      <w:r w:rsidR="006553B1">
        <w:t xml:space="preserve"> in</w:t>
      </w:r>
      <w:r w:rsidR="5C61034F">
        <w:t xml:space="preserve"> all of our pay practices and </w:t>
      </w:r>
      <w:r w:rsidR="33FFC5B4">
        <w:t>o</w:t>
      </w:r>
      <w:r w:rsidR="00B6279C">
        <w:t xml:space="preserve">ur Inclusion Networks </w:t>
      </w:r>
      <w:r w:rsidR="008F6B0F">
        <w:t xml:space="preserve">provide an </w:t>
      </w:r>
      <w:r w:rsidR="14052849">
        <w:t xml:space="preserve">additional </w:t>
      </w:r>
      <w:r w:rsidR="00872E5C">
        <w:t xml:space="preserve">avenue to </w:t>
      </w:r>
      <w:r w:rsidR="00DF632E">
        <w:t xml:space="preserve">identify and address any </w:t>
      </w:r>
      <w:r w:rsidR="00DB403B">
        <w:t>inequalities if they were to ever occur</w:t>
      </w:r>
      <w:r w:rsidR="00735F5A">
        <w:t>.</w:t>
      </w:r>
    </w:p>
    <w:p w14:paraId="08FAF248" w14:textId="21CD46D9" w:rsidR="001F620F" w:rsidRDefault="009E147D">
      <w:r>
        <w:t>We w</w:t>
      </w:r>
      <w:r w:rsidR="00BF68AA">
        <w:t xml:space="preserve">ill </w:t>
      </w:r>
      <w:r w:rsidR="00FE00B5">
        <w:t>continu</w:t>
      </w:r>
      <w:r w:rsidR="00B52CFD">
        <w:t>e</w:t>
      </w:r>
      <w:r w:rsidR="00FE00B5">
        <w:t xml:space="preserve"> to</w:t>
      </w:r>
      <w:r w:rsidR="00D371B9">
        <w:t xml:space="preserve"> ensur</w:t>
      </w:r>
      <w:r w:rsidR="00FE00B5">
        <w:t>e</w:t>
      </w:r>
      <w:r w:rsidR="00D371B9">
        <w:t xml:space="preserve"> that </w:t>
      </w:r>
      <w:r w:rsidR="00F340E8">
        <w:t>our</w:t>
      </w:r>
      <w:r w:rsidR="00D371B9">
        <w:t xml:space="preserve"> colleagues are paid fairly, whilst taking care of their wellbeing and supporting them</w:t>
      </w:r>
      <w:r w:rsidR="00DE4128">
        <w:t xml:space="preserve"> </w:t>
      </w:r>
      <w:r w:rsidR="006B179C">
        <w:t>through</w:t>
      </w:r>
      <w:r w:rsidR="004666D4">
        <w:t>out</w:t>
      </w:r>
      <w:r w:rsidR="006B179C">
        <w:t xml:space="preserve"> their careers. </w:t>
      </w:r>
      <w:r w:rsidR="003A1291">
        <w:t xml:space="preserve"> </w:t>
      </w:r>
    </w:p>
    <w:p w14:paraId="16903E74" w14:textId="77777777" w:rsidR="00C03EE5" w:rsidRDefault="00C03EE5" w:rsidP="00D531DB">
      <w:pPr>
        <w:spacing w:after="0" w:line="240" w:lineRule="auto"/>
        <w:rPr>
          <w:b/>
          <w:bCs/>
        </w:rPr>
      </w:pPr>
    </w:p>
    <w:p w14:paraId="6A40C110" w14:textId="725A8AEB" w:rsidR="00C03EE5" w:rsidRDefault="00D531DB" w:rsidP="00D531DB">
      <w:pPr>
        <w:spacing w:after="0" w:line="240" w:lineRule="auto"/>
        <w:rPr>
          <w:b/>
          <w:bCs/>
        </w:rPr>
      </w:pPr>
      <w:r w:rsidRPr="00096A70">
        <w:rPr>
          <w:b/>
          <w:bCs/>
        </w:rPr>
        <w:t>Teresa Exelby</w:t>
      </w:r>
    </w:p>
    <w:p w14:paraId="68AAA005" w14:textId="7EA710E9" w:rsidR="00D531DB" w:rsidRPr="00C03EE5" w:rsidRDefault="00D531DB" w:rsidP="00D531DB">
      <w:pPr>
        <w:spacing w:after="0" w:line="240" w:lineRule="auto"/>
        <w:rPr>
          <w:b/>
          <w:bCs/>
        </w:rPr>
      </w:pPr>
      <w:r w:rsidRPr="00096A70">
        <w:rPr>
          <w:b/>
          <w:bCs/>
        </w:rPr>
        <w:t>Chief People Officer</w:t>
      </w:r>
    </w:p>
    <w:sectPr w:rsidR="00D531DB" w:rsidRPr="00C03EE5" w:rsidSect="00D533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D32A" w14:textId="77777777" w:rsidR="00D53334" w:rsidRDefault="00D53334" w:rsidP="00D531DB">
      <w:pPr>
        <w:spacing w:after="0" w:line="240" w:lineRule="auto"/>
      </w:pPr>
      <w:r>
        <w:separator/>
      </w:r>
    </w:p>
  </w:endnote>
  <w:endnote w:type="continuationSeparator" w:id="0">
    <w:p w14:paraId="237191B0" w14:textId="77777777" w:rsidR="00D53334" w:rsidRDefault="00D53334" w:rsidP="00D531DB">
      <w:pPr>
        <w:spacing w:after="0" w:line="240" w:lineRule="auto"/>
      </w:pPr>
      <w:r>
        <w:continuationSeparator/>
      </w:r>
    </w:p>
  </w:endnote>
  <w:endnote w:type="continuationNotice" w:id="1">
    <w:p w14:paraId="25323C50" w14:textId="77777777" w:rsidR="00D53334" w:rsidRDefault="00D53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81B4E" w14:textId="77777777" w:rsidR="00D53334" w:rsidRDefault="00D53334" w:rsidP="00D531DB">
      <w:pPr>
        <w:spacing w:after="0" w:line="240" w:lineRule="auto"/>
      </w:pPr>
      <w:r>
        <w:separator/>
      </w:r>
    </w:p>
  </w:footnote>
  <w:footnote w:type="continuationSeparator" w:id="0">
    <w:p w14:paraId="000B2E8A" w14:textId="77777777" w:rsidR="00D53334" w:rsidRDefault="00D53334" w:rsidP="00D531DB">
      <w:pPr>
        <w:spacing w:after="0" w:line="240" w:lineRule="auto"/>
      </w:pPr>
      <w:r>
        <w:continuationSeparator/>
      </w:r>
    </w:p>
  </w:footnote>
  <w:footnote w:type="continuationNotice" w:id="1">
    <w:p w14:paraId="035C9065" w14:textId="77777777" w:rsidR="00D53334" w:rsidRDefault="00D53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A6E8" w14:textId="33B1E258" w:rsidR="00D531DB" w:rsidRDefault="00D531DB" w:rsidP="00D531DB">
    <w:pPr>
      <w:pStyle w:val="Header"/>
      <w:jc w:val="center"/>
    </w:pPr>
    <w:r>
      <w:rPr>
        <w:noProof/>
      </w:rPr>
      <w:drawing>
        <wp:inline distT="0" distB="0" distL="0" distR="0" wp14:anchorId="4A45241B" wp14:editId="179B81E2">
          <wp:extent cx="1859548" cy="1219200"/>
          <wp:effectExtent l="0" t="0" r="7620" b="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369" cy="124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5"/>
    <w:rsid w:val="00017DC1"/>
    <w:rsid w:val="00096A70"/>
    <w:rsid w:val="00106B01"/>
    <w:rsid w:val="001144BA"/>
    <w:rsid w:val="0013047F"/>
    <w:rsid w:val="001408D8"/>
    <w:rsid w:val="001B0AB7"/>
    <w:rsid w:val="001C56B7"/>
    <w:rsid w:val="001D7AE6"/>
    <w:rsid w:val="001F620F"/>
    <w:rsid w:val="00213925"/>
    <w:rsid w:val="002329DF"/>
    <w:rsid w:val="00251BFC"/>
    <w:rsid w:val="00270235"/>
    <w:rsid w:val="00270C08"/>
    <w:rsid w:val="00297D8B"/>
    <w:rsid w:val="00297E1D"/>
    <w:rsid w:val="002E01F8"/>
    <w:rsid w:val="00302806"/>
    <w:rsid w:val="00322569"/>
    <w:rsid w:val="00370E96"/>
    <w:rsid w:val="0039218A"/>
    <w:rsid w:val="003A1291"/>
    <w:rsid w:val="003A71B4"/>
    <w:rsid w:val="003E470A"/>
    <w:rsid w:val="003E4C9D"/>
    <w:rsid w:val="003F1A57"/>
    <w:rsid w:val="00411825"/>
    <w:rsid w:val="00433D4D"/>
    <w:rsid w:val="00435DEE"/>
    <w:rsid w:val="00456550"/>
    <w:rsid w:val="004666D4"/>
    <w:rsid w:val="00471802"/>
    <w:rsid w:val="00491A54"/>
    <w:rsid w:val="004A4F97"/>
    <w:rsid w:val="004A6E22"/>
    <w:rsid w:val="004C2F5B"/>
    <w:rsid w:val="004C33B7"/>
    <w:rsid w:val="004E5D3D"/>
    <w:rsid w:val="004F2BDD"/>
    <w:rsid w:val="004F6C57"/>
    <w:rsid w:val="0050277D"/>
    <w:rsid w:val="005335EB"/>
    <w:rsid w:val="00533934"/>
    <w:rsid w:val="00541617"/>
    <w:rsid w:val="00556C97"/>
    <w:rsid w:val="005822BB"/>
    <w:rsid w:val="005A354A"/>
    <w:rsid w:val="005A7E21"/>
    <w:rsid w:val="005C4FC0"/>
    <w:rsid w:val="005D4CB6"/>
    <w:rsid w:val="005D668B"/>
    <w:rsid w:val="005E0EA1"/>
    <w:rsid w:val="005E4B9A"/>
    <w:rsid w:val="005F44B5"/>
    <w:rsid w:val="00602505"/>
    <w:rsid w:val="00602C52"/>
    <w:rsid w:val="006553B1"/>
    <w:rsid w:val="00692032"/>
    <w:rsid w:val="006A1B92"/>
    <w:rsid w:val="006B179C"/>
    <w:rsid w:val="006B1DA4"/>
    <w:rsid w:val="006B3BE2"/>
    <w:rsid w:val="006F0484"/>
    <w:rsid w:val="006F7A82"/>
    <w:rsid w:val="00735F5A"/>
    <w:rsid w:val="00743D61"/>
    <w:rsid w:val="00747B58"/>
    <w:rsid w:val="00751A19"/>
    <w:rsid w:val="00756CAD"/>
    <w:rsid w:val="00756FEB"/>
    <w:rsid w:val="00766963"/>
    <w:rsid w:val="007737CA"/>
    <w:rsid w:val="00791202"/>
    <w:rsid w:val="007A2338"/>
    <w:rsid w:val="007C782E"/>
    <w:rsid w:val="007E7BFF"/>
    <w:rsid w:val="007F7DA5"/>
    <w:rsid w:val="0081625E"/>
    <w:rsid w:val="0084361C"/>
    <w:rsid w:val="008676C6"/>
    <w:rsid w:val="00872E5C"/>
    <w:rsid w:val="008743DE"/>
    <w:rsid w:val="00894A2D"/>
    <w:rsid w:val="00896E3C"/>
    <w:rsid w:val="008B6859"/>
    <w:rsid w:val="008E2DF2"/>
    <w:rsid w:val="008E4E25"/>
    <w:rsid w:val="008F6B0F"/>
    <w:rsid w:val="00900D36"/>
    <w:rsid w:val="009108DA"/>
    <w:rsid w:val="0097716D"/>
    <w:rsid w:val="00984119"/>
    <w:rsid w:val="009C1DFB"/>
    <w:rsid w:val="009D5124"/>
    <w:rsid w:val="009E147D"/>
    <w:rsid w:val="00A076E3"/>
    <w:rsid w:val="00A15491"/>
    <w:rsid w:val="00A30660"/>
    <w:rsid w:val="00A50545"/>
    <w:rsid w:val="00AC37A1"/>
    <w:rsid w:val="00AE5980"/>
    <w:rsid w:val="00AF2EF8"/>
    <w:rsid w:val="00AF458F"/>
    <w:rsid w:val="00B11A01"/>
    <w:rsid w:val="00B217B3"/>
    <w:rsid w:val="00B438D4"/>
    <w:rsid w:val="00B52CFD"/>
    <w:rsid w:val="00B5321F"/>
    <w:rsid w:val="00B6279C"/>
    <w:rsid w:val="00B8194F"/>
    <w:rsid w:val="00BD41BF"/>
    <w:rsid w:val="00BE7590"/>
    <w:rsid w:val="00BF68AA"/>
    <w:rsid w:val="00C03EE5"/>
    <w:rsid w:val="00C07E61"/>
    <w:rsid w:val="00C36B9F"/>
    <w:rsid w:val="00C3724E"/>
    <w:rsid w:val="00C55A39"/>
    <w:rsid w:val="00C64F85"/>
    <w:rsid w:val="00C838B6"/>
    <w:rsid w:val="00C90DBD"/>
    <w:rsid w:val="00CA25F2"/>
    <w:rsid w:val="00D145C4"/>
    <w:rsid w:val="00D371B9"/>
    <w:rsid w:val="00D512C9"/>
    <w:rsid w:val="00D531DB"/>
    <w:rsid w:val="00D53334"/>
    <w:rsid w:val="00D57B32"/>
    <w:rsid w:val="00D94FC9"/>
    <w:rsid w:val="00DB403B"/>
    <w:rsid w:val="00DC1F5C"/>
    <w:rsid w:val="00DE4128"/>
    <w:rsid w:val="00DF632E"/>
    <w:rsid w:val="00E27917"/>
    <w:rsid w:val="00E43989"/>
    <w:rsid w:val="00E678D4"/>
    <w:rsid w:val="00E75DE1"/>
    <w:rsid w:val="00EA6810"/>
    <w:rsid w:val="00EB1125"/>
    <w:rsid w:val="00EC19B0"/>
    <w:rsid w:val="00F33220"/>
    <w:rsid w:val="00F340E8"/>
    <w:rsid w:val="00F341A3"/>
    <w:rsid w:val="00F7208A"/>
    <w:rsid w:val="00F82785"/>
    <w:rsid w:val="00F8413D"/>
    <w:rsid w:val="00F912AD"/>
    <w:rsid w:val="00F92B57"/>
    <w:rsid w:val="00FB077D"/>
    <w:rsid w:val="00FC4CB2"/>
    <w:rsid w:val="00FD149D"/>
    <w:rsid w:val="00FE00B5"/>
    <w:rsid w:val="00FF241F"/>
    <w:rsid w:val="048F9B7C"/>
    <w:rsid w:val="14052849"/>
    <w:rsid w:val="1832F42F"/>
    <w:rsid w:val="19CEC490"/>
    <w:rsid w:val="1D4555E6"/>
    <w:rsid w:val="29380381"/>
    <w:rsid w:val="2A0518C4"/>
    <w:rsid w:val="2C567BE6"/>
    <w:rsid w:val="33FFC5B4"/>
    <w:rsid w:val="3BC49242"/>
    <w:rsid w:val="43CFA427"/>
    <w:rsid w:val="456B7488"/>
    <w:rsid w:val="48FF45C8"/>
    <w:rsid w:val="4AB54883"/>
    <w:rsid w:val="50950A6D"/>
    <w:rsid w:val="5608A605"/>
    <w:rsid w:val="56FBA0D1"/>
    <w:rsid w:val="5993D3AA"/>
    <w:rsid w:val="5C61034F"/>
    <w:rsid w:val="677160DE"/>
    <w:rsid w:val="70C59610"/>
    <w:rsid w:val="70F3D38E"/>
    <w:rsid w:val="7FC4C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9641"/>
  <w15:chartTrackingRefBased/>
  <w15:docId w15:val="{C91EBCAE-6DAD-425F-94C5-8708C1B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3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DB"/>
  </w:style>
  <w:style w:type="paragraph" w:styleId="Footer">
    <w:name w:val="footer"/>
    <w:basedOn w:val="Normal"/>
    <w:link w:val="FooterChar"/>
    <w:uiPriority w:val="99"/>
    <w:unhideWhenUsed/>
    <w:rsid w:val="00D53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58D3-EBF5-40F6-A62B-8AB05B1F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Morrow</dc:creator>
  <cp:keywords/>
  <dc:description/>
  <cp:lastModifiedBy>Alexandra Johnston</cp:lastModifiedBy>
  <cp:revision>9</cp:revision>
  <dcterms:created xsi:type="dcterms:W3CDTF">2024-04-03T17:26:00Z</dcterms:created>
  <dcterms:modified xsi:type="dcterms:W3CDTF">2024-04-04T08:06:00Z</dcterms:modified>
</cp:coreProperties>
</file>